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414A4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TRAVEL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1C813F69" wp14:editId="256A6F05">
            <wp:simplePos x="0" y="0"/>
            <wp:positionH relativeFrom="column">
              <wp:posOffset>19050</wp:posOffset>
            </wp:positionH>
            <wp:positionV relativeFrom="paragraph">
              <wp:posOffset>138938</wp:posOffset>
            </wp:positionV>
            <wp:extent cx="1353185" cy="51816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B89D2F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AND REIMBURSEMENT </w:t>
      </w:r>
    </w:p>
    <w:p w14:paraId="47730A76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GUIDELINES </w:t>
      </w:r>
    </w:p>
    <w:tbl>
      <w:tblPr>
        <w:tblStyle w:val="a"/>
        <w:tblW w:w="13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1"/>
        <w:gridCol w:w="7502"/>
        <w:gridCol w:w="1752"/>
      </w:tblGrid>
      <w:tr w:rsidR="00C050CD" w14:paraId="7B18B3F1" w14:textId="77777777">
        <w:trPr>
          <w:trHeight w:val="668"/>
        </w:trPr>
        <w:tc>
          <w:tcPr>
            <w:tcW w:w="13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2A6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2162" w:right="39" w:hanging="12105"/>
              <w:rPr>
                <w:b/>
                <w:color w:val="000000"/>
                <w:shd w:val="clear" w:color="auto" w:fill="D9D9D9"/>
              </w:rPr>
            </w:pPr>
            <w:r>
              <w:rPr>
                <w:b/>
                <w:color w:val="000000"/>
                <w:sz w:val="36"/>
                <w:szCs w:val="36"/>
                <w:shd w:val="clear" w:color="auto" w:fill="D9D9D9"/>
                <w:vertAlign w:val="subscript"/>
              </w:rPr>
              <w:t xml:space="preserve">Country Travel Arrangements and Reimbursement </w:t>
            </w:r>
            <w:r>
              <w:rPr>
                <w:b/>
                <w:color w:val="000000"/>
                <w:shd w:val="clear" w:color="auto" w:fill="D9D9D9"/>
              </w:rPr>
              <w:t>Maximum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  <w:shd w:val="clear" w:color="auto" w:fill="D9D9D9"/>
              </w:rPr>
              <w:t>Reimbursement</w:t>
            </w:r>
          </w:p>
        </w:tc>
      </w:tr>
      <w:tr w:rsidR="00C050CD" w14:paraId="3617A8B5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C0E6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Albania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2386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A81F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66727836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FD6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Armenia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8FD2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DB5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€ 400</w:t>
            </w:r>
          </w:p>
        </w:tc>
      </w:tr>
      <w:tr w:rsidR="00C050CD" w14:paraId="0570632F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AA72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Azerbaijan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A6BF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A77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€ 500</w:t>
            </w:r>
          </w:p>
        </w:tc>
      </w:tr>
      <w:tr w:rsidR="00C050CD" w14:paraId="58280CA0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C05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Belarus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A145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BC1D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€ 400</w:t>
            </w:r>
          </w:p>
        </w:tc>
      </w:tr>
      <w:tr w:rsidR="00C050CD" w14:paraId="6F84B144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946D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Bosnia and Herzegovina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EA0F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B97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€ 200</w:t>
            </w:r>
          </w:p>
        </w:tc>
      </w:tr>
      <w:tr w:rsidR="00C050CD" w14:paraId="50DB5B5D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6FE5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Bulgaria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772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567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33D4C7C2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CDEE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Croatia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B8E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815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7A3C1025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45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Czech Republic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3F545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53CD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41B76871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47E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Estonia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89CA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D894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5A401070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8B1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Georgia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BF674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CA5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€ 400</w:t>
            </w:r>
          </w:p>
        </w:tc>
      </w:tr>
      <w:tr w:rsidR="00C050CD" w14:paraId="62C16907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8D6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Hungary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5684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EA29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3DCBBAE0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7256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Kazakhstan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1F36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35EE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€ 700</w:t>
            </w:r>
          </w:p>
        </w:tc>
      </w:tr>
      <w:tr w:rsidR="00C050CD" w14:paraId="4AA6BEC3" w14:textId="77777777">
        <w:trPr>
          <w:trHeight w:val="32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F4B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Kosovo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2745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D3A6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€ 200</w:t>
            </w:r>
          </w:p>
        </w:tc>
      </w:tr>
      <w:tr w:rsidR="00C050CD" w14:paraId="5AEA940A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118E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Kyrgyzstan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538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color w:val="000000"/>
              </w:rPr>
            </w:pPr>
            <w:r>
              <w:rPr>
                <w:color w:val="000000"/>
              </w:rPr>
              <w:t xml:space="preserve">OMI Local Coordinator books and covers the tickets.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1197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€ 700</w:t>
            </w:r>
          </w:p>
        </w:tc>
      </w:tr>
      <w:tr w:rsidR="00C050CD" w14:paraId="71665BDD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2B1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Latvia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8A51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24DF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770F2918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2AA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Lithuania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3AB1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6B51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72363D88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87ED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Mexico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616E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color w:val="000000"/>
              </w:rPr>
            </w:pPr>
            <w:r>
              <w:rPr>
                <w:color w:val="000000"/>
              </w:rPr>
              <w:t xml:space="preserve">AMSA books and covers the tickets.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A7DB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050CD" w14:paraId="5F6F30FF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3790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Moldova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5D2BD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590D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0FFCF347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7885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Mongolia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66C6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6"/>
              <w:rPr>
                <w:color w:val="000000"/>
              </w:rPr>
            </w:pPr>
            <w:r>
              <w:rPr>
                <w:color w:val="000000"/>
              </w:rPr>
              <w:t xml:space="preserve">OMI Local Coordinator books and covers the tickets.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ED2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€ 800</w:t>
            </w:r>
          </w:p>
        </w:tc>
      </w:tr>
      <w:tr w:rsidR="00C050CD" w14:paraId="6D142A35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9E0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Montenegro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4EF2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68474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41E31A18" w14:textId="77777777">
        <w:trPr>
          <w:trHeight w:val="310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42BD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North Macedonia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1AE7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E03C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€ 300</w:t>
            </w:r>
          </w:p>
        </w:tc>
      </w:tr>
      <w:tr w:rsidR="00C050CD" w14:paraId="4A9F5B00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E4C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Romania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1B33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5D1D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€ 200</w:t>
            </w:r>
          </w:p>
        </w:tc>
      </w:tr>
      <w:tr w:rsidR="00C050CD" w14:paraId="5062652F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2F6A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Russian Federation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C39F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9349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€ 400</w:t>
            </w:r>
          </w:p>
        </w:tc>
      </w:tr>
      <w:tr w:rsidR="00C050CD" w14:paraId="220DBDB3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92F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Serbia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3FFB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65A2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€ 200</w:t>
            </w:r>
          </w:p>
        </w:tc>
      </w:tr>
      <w:tr w:rsidR="00C050CD" w14:paraId="3A10DE2E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3431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Slovakia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E7B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34092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571F7110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86CF1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Slovenia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8386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8EC5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4AA9571A" w14:textId="77777777">
        <w:trPr>
          <w:trHeight w:val="311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15A2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Tajikistan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BDD1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C7B7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€ 700</w:t>
            </w:r>
          </w:p>
        </w:tc>
      </w:tr>
    </w:tbl>
    <w:p w14:paraId="5D7F563D" w14:textId="77777777" w:rsidR="00C050CD" w:rsidRDefault="00C050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1C3B2C" w14:textId="77777777" w:rsidR="00C050CD" w:rsidRDefault="00C050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16FF18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309"/>
        <w:jc w:val="right"/>
        <w:rPr>
          <w:color w:val="92A0A7"/>
          <w:sz w:val="19"/>
          <w:szCs w:val="19"/>
        </w:rPr>
      </w:pPr>
      <w:r>
        <w:rPr>
          <w:color w:val="92A0A7"/>
          <w:sz w:val="19"/>
          <w:szCs w:val="19"/>
        </w:rPr>
        <w:t>© Open Medical Institute 2022</w:t>
      </w:r>
    </w:p>
    <w:p w14:paraId="4C451C27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TRAVEL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7F31DE6A" wp14:editId="372E9347">
            <wp:simplePos x="0" y="0"/>
            <wp:positionH relativeFrom="column">
              <wp:posOffset>19050</wp:posOffset>
            </wp:positionH>
            <wp:positionV relativeFrom="paragraph">
              <wp:posOffset>138938</wp:posOffset>
            </wp:positionV>
            <wp:extent cx="1353185" cy="518160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185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55D53E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AND REIMBURSEMENT </w:t>
      </w:r>
    </w:p>
    <w:p w14:paraId="01E27389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GUIDELINES </w:t>
      </w:r>
    </w:p>
    <w:tbl>
      <w:tblPr>
        <w:tblStyle w:val="a0"/>
        <w:tblW w:w="138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1"/>
        <w:gridCol w:w="7502"/>
        <w:gridCol w:w="1752"/>
      </w:tblGrid>
      <w:tr w:rsidR="00C050CD" w14:paraId="591179EB" w14:textId="77777777">
        <w:trPr>
          <w:trHeight w:val="312"/>
        </w:trPr>
        <w:tc>
          <w:tcPr>
            <w:tcW w:w="1384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6F13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Ukraine </w:t>
            </w:r>
            <w:r>
              <w:rPr>
                <w:color w:val="000000"/>
              </w:rPr>
              <w:t>Fellows should make their own travel arrangements. € 400</w:t>
            </w:r>
          </w:p>
        </w:tc>
      </w:tr>
      <w:tr w:rsidR="00C050CD" w14:paraId="53D827D1" w14:textId="77777777">
        <w:trPr>
          <w:trHeight w:val="309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F052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Uzbekistan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5D91A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6"/>
              <w:rPr>
                <w:color w:val="000000"/>
              </w:rPr>
            </w:pPr>
            <w:r>
              <w:rPr>
                <w:color w:val="000000"/>
              </w:rPr>
              <w:t xml:space="preserve">Fellows should make their own travel arrangements.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80C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€ 700</w:t>
            </w:r>
          </w:p>
        </w:tc>
      </w:tr>
      <w:tr w:rsidR="00C050CD" w14:paraId="636AE4E9" w14:textId="77777777">
        <w:trPr>
          <w:trHeight w:val="312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C539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Other European Countries 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B44F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64"/>
              <w:rPr>
                <w:color w:val="000000"/>
              </w:rPr>
            </w:pPr>
            <w:r>
              <w:rPr>
                <w:color w:val="000000"/>
              </w:rPr>
              <w:t xml:space="preserve">No travel reimbursement. 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2015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€ 0</w:t>
            </w:r>
          </w:p>
        </w:tc>
      </w:tr>
      <w:tr w:rsidR="00C050CD" w14:paraId="79DA8ABE" w14:textId="77777777">
        <w:trPr>
          <w:trHeight w:val="3384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AB3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Tanzania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13E64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5" w:right="-4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OMI Salzburg books and covers the airline tickets from Dar es Salaam to Munich and ground transportation from Munich to Schloss </w:t>
            </w:r>
            <w:proofErr w:type="spellStart"/>
            <w:r>
              <w:rPr>
                <w:color w:val="000000"/>
              </w:rPr>
              <w:t>Arenberg</w:t>
            </w:r>
            <w:proofErr w:type="spellEnd"/>
            <w:r>
              <w:rPr>
                <w:color w:val="000000"/>
              </w:rPr>
              <w:t xml:space="preserve"> via airport shuttle. If the fellow does not take the shuttle s/he will not be reimbursed. </w:t>
            </w:r>
          </w:p>
          <w:p w14:paraId="06E33AE7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 w:line="246" w:lineRule="auto"/>
              <w:ind w:left="56" w:right="-39" w:firstLine="1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In-country travel to Dar es Salaam and visa expenses (fees, hotel, etc.) are covered up to a maximum of € 150.- and will be reimbursed upon arrival in Salzburg. </w:t>
            </w:r>
          </w:p>
          <w:p w14:paraId="565768B6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 w:line="228" w:lineRule="auto"/>
              <w:ind w:left="56" w:right="-38" w:firstLine="1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Schengen visa for Tanzanians</w:t>
            </w:r>
            <w:r>
              <w:rPr>
                <w:color w:val="000000"/>
              </w:rPr>
              <w:t xml:space="preserve">: Please submit all the required documents to Ms. </w:t>
            </w:r>
            <w:proofErr w:type="spellStart"/>
            <w:r>
              <w:rPr>
                <w:color w:val="000000"/>
              </w:rPr>
              <w:t>Ragini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Borhara</w:t>
            </w:r>
            <w:proofErr w:type="spellEnd"/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ragini.borhara@diplobel.fed.be) at the Royal Belgian Embassy in Dar es Salaam at least one month before traveling. Please also contact your local coordinator for further information.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022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5BB58669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2" w:line="240" w:lineRule="auto"/>
              <w:ind w:left="3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DF252F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ind w:left="4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3465D25B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55" w:line="240" w:lineRule="auto"/>
              <w:ind w:left="36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4143B3D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39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5D58181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1" w:line="240" w:lineRule="auto"/>
              <w:ind w:left="3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17A0753C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line="240" w:lineRule="auto"/>
              <w:ind w:left="3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1BE3A9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1" w:line="240" w:lineRule="auto"/>
              <w:ind w:left="3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C050CD" w14:paraId="1C6CA0C1" w14:textId="77777777">
        <w:trPr>
          <w:trHeight w:val="993"/>
        </w:trPr>
        <w:tc>
          <w:tcPr>
            <w:tcW w:w="45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99DB3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Rest of Africa and Other Parts of the World</w:t>
            </w:r>
          </w:p>
        </w:tc>
        <w:tc>
          <w:tcPr>
            <w:tcW w:w="75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3C48E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60" w:right="189" w:hanging="9"/>
              <w:rPr>
                <w:color w:val="000000"/>
              </w:rPr>
            </w:pPr>
            <w:r>
              <w:rPr>
                <w:color w:val="000000"/>
              </w:rPr>
              <w:t xml:space="preserve">Travel grants will be awarded on a case-by-case basis subject to </w:t>
            </w:r>
            <w:proofErr w:type="gramStart"/>
            <w:r>
              <w:rPr>
                <w:color w:val="000000"/>
              </w:rPr>
              <w:t>approval  by</w:t>
            </w:r>
            <w:proofErr w:type="gramEnd"/>
            <w:r>
              <w:rPr>
                <w:color w:val="000000"/>
              </w:rPr>
              <w:t xml:space="preserve"> OMI Salzburg. Requests should be directed to  </w:t>
            </w:r>
          </w:p>
          <w:p w14:paraId="71C83DF8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55"/>
              <w:rPr>
                <w:color w:val="000000"/>
              </w:rPr>
            </w:pPr>
            <w:r>
              <w:rPr>
                <w:color w:val="000000"/>
              </w:rPr>
              <w:t>seminars@openmedicalinstitute.org.</w:t>
            </w:r>
          </w:p>
        </w:tc>
        <w:tc>
          <w:tcPr>
            <w:tcW w:w="1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50C0" w14:textId="77777777" w:rsidR="00C050CD" w:rsidRDefault="004417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case-by-case</w:t>
            </w:r>
          </w:p>
        </w:tc>
      </w:tr>
    </w:tbl>
    <w:p w14:paraId="0E5FDF23" w14:textId="77777777" w:rsidR="00C050CD" w:rsidRDefault="00C050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FFFF16" w14:textId="77777777" w:rsidR="00C050CD" w:rsidRDefault="00C050C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DE99968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631" w:right="36" w:hanging="23"/>
        <w:rPr>
          <w:color w:val="000000"/>
        </w:rPr>
      </w:pPr>
      <w:r>
        <w:rPr>
          <w:b/>
          <w:color w:val="000000"/>
          <w:u w:val="single"/>
        </w:rPr>
        <w:t xml:space="preserve">Travel by car: </w:t>
      </w:r>
      <w:r>
        <w:rPr>
          <w:color w:val="000000"/>
        </w:rPr>
        <w:t xml:space="preserve">Fellows from countries which are applicable for reimbursement will receive mileage of € 8 per 100km up to the </w:t>
      </w:r>
      <w:proofErr w:type="gramStart"/>
      <w:r>
        <w:rPr>
          <w:color w:val="000000"/>
        </w:rPr>
        <w:t>maximum  reimbursement</w:t>
      </w:r>
      <w:proofErr w:type="gramEnd"/>
      <w:r>
        <w:rPr>
          <w:color w:val="000000"/>
        </w:rPr>
        <w:t xml:space="preserve"> sum if traveling by car. </w:t>
      </w:r>
    </w:p>
    <w:p w14:paraId="55AED6EA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3" w:line="248" w:lineRule="auto"/>
        <w:ind w:left="635" w:right="1877" w:firstLine="2"/>
        <w:rPr>
          <w:color w:val="000000"/>
        </w:rPr>
      </w:pPr>
      <w:r>
        <w:rPr>
          <w:color w:val="000000"/>
        </w:rPr>
        <w:t xml:space="preserve">Please submit all </w:t>
      </w:r>
      <w:r>
        <w:rPr>
          <w:b/>
          <w:color w:val="000000"/>
          <w:u w:val="single"/>
        </w:rPr>
        <w:t>original receipts</w:t>
      </w:r>
      <w:r>
        <w:rPr>
          <w:b/>
          <w:color w:val="000000"/>
        </w:rPr>
        <w:t xml:space="preserve"> </w:t>
      </w:r>
      <w:r>
        <w:rPr>
          <w:color w:val="000000"/>
        </w:rPr>
        <w:t>to seminars@openmedicalinstitute.org or to the reception clerk upon your arrival.  Likewise, please share your itinerary as soon as it is fixed!</w:t>
      </w:r>
    </w:p>
    <w:p w14:paraId="2F77A853" w14:textId="77777777" w:rsidR="00C050CD" w:rsidRDefault="004417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3" w:line="240" w:lineRule="auto"/>
        <w:ind w:right="5300"/>
        <w:jc w:val="right"/>
        <w:rPr>
          <w:color w:val="92A0A7"/>
          <w:sz w:val="19"/>
          <w:szCs w:val="19"/>
        </w:rPr>
      </w:pPr>
      <w:r>
        <w:rPr>
          <w:color w:val="92A0A7"/>
          <w:sz w:val="19"/>
          <w:szCs w:val="19"/>
        </w:rPr>
        <w:t xml:space="preserve">© Open Medical Institute 2022 </w:t>
      </w:r>
    </w:p>
    <w:sectPr w:rsidR="00C050CD">
      <w:pgSz w:w="15840" w:h="12240" w:orient="landscape"/>
      <w:pgMar w:top="691" w:right="1418" w:bottom="749" w:left="51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CD"/>
    <w:rsid w:val="004417A2"/>
    <w:rsid w:val="00C0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E945B"/>
  <w15:docId w15:val="{F4102584-1D38-48A1-AB15-76892497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Callaway</dc:creator>
  <cp:lastModifiedBy>Mary Callaway</cp:lastModifiedBy>
  <cp:revision>2</cp:revision>
  <dcterms:created xsi:type="dcterms:W3CDTF">2022-01-17T20:00:00Z</dcterms:created>
  <dcterms:modified xsi:type="dcterms:W3CDTF">2022-01-17T20:00:00Z</dcterms:modified>
</cp:coreProperties>
</file>